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626183886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F45F8A">
        <w:tc>
          <w:tcPr>
            <w:tcW w:w="4860" w:type="dxa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Title</w:t>
            </w:r>
          </w:p>
          <w:p w:rsidR="00C46382" w:rsidRPr="00F45F8A" w:rsidRDefault="00EF2FA7" w:rsidP="00C46382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Public Health Support Officer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Department</w:t>
            </w:r>
          </w:p>
          <w:p w:rsidR="00C46382" w:rsidRPr="00F45F8A" w:rsidRDefault="00C36D3B" w:rsidP="00C46382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 xml:space="preserve">Adult Social Care, Health and Public Protection </w:t>
            </w:r>
          </w:p>
        </w:tc>
        <w:tc>
          <w:tcPr>
            <w:tcW w:w="3960" w:type="dxa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Post Ref.</w:t>
            </w:r>
          </w:p>
          <w:p w:rsidR="00A378D9" w:rsidRPr="00C36D3B" w:rsidRDefault="00C36D3B" w:rsidP="00C46382">
            <w:pPr>
              <w:rPr>
                <w:b/>
              </w:rPr>
            </w:pPr>
            <w:r w:rsidRPr="00C36D3B">
              <w:rPr>
                <w:b/>
              </w:rPr>
              <w:t>PH020</w:t>
            </w:r>
          </w:p>
        </w:tc>
      </w:tr>
      <w:tr w:rsidR="00C46382" w:rsidTr="00F45F8A">
        <w:tc>
          <w:tcPr>
            <w:tcW w:w="14940" w:type="dxa"/>
            <w:gridSpan w:val="4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Job Purpose</w:t>
            </w:r>
          </w:p>
          <w:p w:rsidR="00EF2FA7" w:rsidRDefault="00EF2FA7" w:rsidP="00EF2FA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To support the implementation of a strategic approach to selected policy areas across the Nottinghamshire</w:t>
            </w:r>
            <w:r w:rsidR="00BF4A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Health system (including Nottinghamshire County Council, the Nottinghamshire Health and Wellbeing</w:t>
            </w:r>
            <w:r w:rsidR="00BF4A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Board, Nottinghamshire Clinical Commissioning Groups, </w:t>
            </w:r>
            <w:r w:rsidR="00BF4A61">
              <w:rPr>
                <w:rFonts w:cs="Arial"/>
              </w:rPr>
              <w:t>D</w:t>
            </w:r>
            <w:r>
              <w:rPr>
                <w:rFonts w:cs="Arial"/>
              </w:rPr>
              <w:t>istrict Councils and other external partners).</w:t>
            </w:r>
          </w:p>
          <w:p w:rsidR="00B10BB1" w:rsidRDefault="00B10BB1" w:rsidP="00EF2F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46382" w:rsidRDefault="00EF2FA7" w:rsidP="00BF4A61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The post holder will be accountable to a PH and Commissioning Manager and will work in a multi-agency</w:t>
            </w:r>
            <w:r w:rsidR="00BF4A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environment</w:t>
            </w:r>
          </w:p>
          <w:p w:rsidR="00C46382" w:rsidRDefault="00C46382" w:rsidP="00C46382"/>
        </w:tc>
      </w:tr>
      <w:tr w:rsidR="00C46382" w:rsidTr="00F45F8A">
        <w:tc>
          <w:tcPr>
            <w:tcW w:w="774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Key Responsibilities</w:t>
            </w:r>
          </w:p>
          <w:p w:rsidR="00C46382" w:rsidRPr="00F45F8A" w:rsidRDefault="00C46382" w:rsidP="00C46382">
            <w:pPr>
              <w:rPr>
                <w:b/>
              </w:rPr>
            </w:pPr>
          </w:p>
          <w:p w:rsidR="00EF2FA7" w:rsidRPr="00B10BB1" w:rsidRDefault="00EF2FA7" w:rsidP="00BF4A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To manage and deliver Public Health projects aligned to public</w:t>
            </w:r>
          </w:p>
          <w:p w:rsidR="00EF2FA7" w:rsidRDefault="00EF2FA7" w:rsidP="00BF4A6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health policy areas using a recognised project management</w:t>
            </w:r>
          </w:p>
          <w:p w:rsidR="00EF2FA7" w:rsidRDefault="00EF2FA7" w:rsidP="00BF4A6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framework, in order that they contribute to the overall PH strategy</w:t>
            </w:r>
          </w:p>
          <w:p w:rsidR="00EF2FA7" w:rsidRDefault="00EF2FA7" w:rsidP="00EF2F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F2FA7" w:rsidRPr="00B10BB1" w:rsidRDefault="00EF2FA7" w:rsidP="00B10B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To support the undertaking of technical, statistical, quantitative and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qualitative public health analyses including health needs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assessments, production of joint strategic needs assessment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chapters, health impact assessments and health equity audits in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conjunction with partners, in order that this information is used to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inform effective decision-making.</w:t>
            </w:r>
          </w:p>
          <w:p w:rsidR="00EF2FA7" w:rsidRDefault="00EF2FA7" w:rsidP="00EF2F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F2FA7" w:rsidRPr="00B10BB1" w:rsidRDefault="00EF2FA7" w:rsidP="00B10B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To assess the evidence of effectiveness of health and wellbeing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 xml:space="preserve">interventions, programmes and services </w:t>
            </w:r>
            <w:proofErr w:type="gramStart"/>
            <w:r w:rsidRPr="00B10BB1">
              <w:rPr>
                <w:rFonts w:cs="Arial"/>
              </w:rPr>
              <w:t>in order to</w:t>
            </w:r>
            <w:proofErr w:type="gramEnd"/>
            <w:r w:rsidRPr="00B10BB1">
              <w:rPr>
                <w:rFonts w:cs="Arial"/>
              </w:rPr>
              <w:t xml:space="preserve"> inform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commissioning and strategy and service reviews, participating in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literature reviews and research.</w:t>
            </w:r>
          </w:p>
          <w:p w:rsidR="00EF2FA7" w:rsidRDefault="00EF2FA7" w:rsidP="00EF2F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46382" w:rsidRPr="00B10BB1" w:rsidRDefault="00EF2FA7" w:rsidP="00B10B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To support the commissioning of Public Health services in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specified policy areas, ensuring they deliver value for money and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are cost effective.</w:t>
            </w:r>
          </w:p>
          <w:p w:rsidR="00EF2FA7" w:rsidRDefault="00EF2FA7" w:rsidP="00EF2FA7">
            <w:pPr>
              <w:tabs>
                <w:tab w:val="left" w:pos="2600"/>
              </w:tabs>
            </w:pPr>
          </w:p>
          <w:p w:rsidR="00EF2FA7" w:rsidRPr="00B10BB1" w:rsidRDefault="00EF2FA7" w:rsidP="00EF2F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10BB1">
              <w:rPr>
                <w:rFonts w:cs="Arial"/>
                <w:color w:val="000000"/>
              </w:rPr>
              <w:t>To contribute to the c</w:t>
            </w:r>
            <w:r w:rsidR="00B10BB1" w:rsidRPr="00B10BB1">
              <w:rPr>
                <w:rFonts w:cs="Arial"/>
                <w:color w:val="000000"/>
              </w:rPr>
              <w:t xml:space="preserve">ommissioning process by writing </w:t>
            </w:r>
            <w:proofErr w:type="gramStart"/>
            <w:r w:rsidRPr="00B10BB1">
              <w:rPr>
                <w:rFonts w:cs="Arial"/>
                <w:color w:val="000000"/>
              </w:rPr>
              <w:t>evidence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based</w:t>
            </w:r>
            <w:proofErr w:type="gramEnd"/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service specifications that address the findings of needs</w:t>
            </w:r>
            <w:r w:rsid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assessment, supporting the procurement and management of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lastRenderedPageBreak/>
              <w:t>contracts for public health services, and conducting service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evaluations and reviews.</w:t>
            </w:r>
          </w:p>
          <w:p w:rsidR="00EF2FA7" w:rsidRDefault="00EF2FA7" w:rsidP="00EF2FA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EF2FA7" w:rsidRPr="00B10BB1" w:rsidRDefault="00EF2FA7" w:rsidP="00B10B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10BB1">
              <w:rPr>
                <w:rFonts w:cs="Arial"/>
                <w:color w:val="000000"/>
              </w:rPr>
              <w:t>To support senior staff in the provision of specialist public health</w:t>
            </w:r>
            <w:r w:rsid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and commissioning support to the NHS Clinical Commissioning</w:t>
            </w:r>
            <w:r w:rsid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 xml:space="preserve">Groups on specified health care topics </w:t>
            </w:r>
            <w:proofErr w:type="gramStart"/>
            <w:r w:rsidRPr="00B10BB1">
              <w:rPr>
                <w:rFonts w:cs="Arial"/>
                <w:color w:val="000000"/>
              </w:rPr>
              <w:t>in order to</w:t>
            </w:r>
            <w:proofErr w:type="gramEnd"/>
            <w:r w:rsidRPr="00B10BB1">
              <w:rPr>
                <w:rFonts w:cs="Arial"/>
                <w:color w:val="000000"/>
              </w:rPr>
              <w:t xml:space="preserve"> fulfil the</w:t>
            </w:r>
            <w:r w:rsid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Council’s statutory duty, including supporting any integrated</w:t>
            </w:r>
            <w:r w:rsid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commissioning arrangements managed by the council on behalf of</w:t>
            </w:r>
            <w:r w:rsid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CCGs.</w:t>
            </w:r>
          </w:p>
          <w:p w:rsidR="00EF2FA7" w:rsidRDefault="00EF2FA7" w:rsidP="00EF2FA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EF2FA7" w:rsidRPr="00B10BB1" w:rsidRDefault="00EF2FA7" w:rsidP="00B10B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10BB1">
              <w:rPr>
                <w:rFonts w:cs="Arial"/>
                <w:color w:val="000000"/>
              </w:rPr>
              <w:t>To articulate health information to support the development of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strategy and action to tackle health inequality issues and writing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reports to make recommendations as appropriate.</w:t>
            </w:r>
          </w:p>
          <w:p w:rsidR="00EF2FA7" w:rsidRDefault="00EF2FA7" w:rsidP="00EF2FA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C46382" w:rsidRPr="00B10BB1" w:rsidRDefault="00EF2FA7" w:rsidP="00EF2F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10BB1">
              <w:rPr>
                <w:rFonts w:cs="Arial"/>
                <w:color w:val="000000"/>
              </w:rPr>
              <w:t>To work with others to promote public health priorities and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outcomes. This includes signposting others to public health</w:t>
            </w:r>
            <w:r w:rsid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knowledge, standards or practice, across the policy area, and</w:t>
            </w:r>
            <w:r w:rsid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 xml:space="preserve">working with other parts of the Council </w:t>
            </w:r>
            <w:proofErr w:type="gramStart"/>
            <w:r w:rsidRPr="00B10BB1">
              <w:rPr>
                <w:rFonts w:cs="Arial"/>
                <w:color w:val="000000"/>
              </w:rPr>
              <w:t>in order to</w:t>
            </w:r>
            <w:proofErr w:type="gramEnd"/>
            <w:r w:rsidRPr="00B10BB1">
              <w:rPr>
                <w:rFonts w:cs="Arial"/>
                <w:color w:val="000000"/>
              </w:rPr>
              <w:t xml:space="preserve"> raise the profile</w:t>
            </w:r>
            <w:r w:rsid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of public health and embed public health within council services</w:t>
            </w:r>
            <w:r w:rsidR="00B10BB1">
              <w:rPr>
                <w:rFonts w:cs="Arial"/>
                <w:color w:val="000000"/>
              </w:rPr>
              <w:t xml:space="preserve"> an</w:t>
            </w:r>
            <w:r w:rsidRPr="00B10BB1">
              <w:rPr>
                <w:rFonts w:cs="Arial"/>
                <w:color w:val="000000"/>
              </w:rPr>
              <w:t>d policies</w:t>
            </w:r>
          </w:p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lastRenderedPageBreak/>
              <w:t>Key Accountabilities</w:t>
            </w:r>
          </w:p>
          <w:p w:rsidR="00C46382" w:rsidRPr="00F45F8A" w:rsidRDefault="00C46382" w:rsidP="00C46382">
            <w:pPr>
              <w:rPr>
                <w:b/>
              </w:rPr>
            </w:pPr>
          </w:p>
          <w:p w:rsidR="00EF2FA7" w:rsidRPr="00B10BB1" w:rsidRDefault="00EF2FA7" w:rsidP="00B10BB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B10BB1">
              <w:rPr>
                <w:rFonts w:cs="Arial"/>
                <w:color w:val="000000"/>
              </w:rPr>
              <w:t>Delivering allocated projects / work streams within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appropriate levels of quality, time, budget, resources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and performance.</w:t>
            </w:r>
          </w:p>
          <w:p w:rsidR="00EF2FA7" w:rsidRDefault="00EF2FA7" w:rsidP="00B10BB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EF2FA7" w:rsidRPr="00B10BB1" w:rsidRDefault="00EF2FA7" w:rsidP="00B10BB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B10BB1">
              <w:rPr>
                <w:rFonts w:cs="Arial"/>
                <w:color w:val="000000"/>
              </w:rPr>
              <w:t>Working within an evidence-based approach and within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ethical frameworks to deliver high quality and equitable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services.</w:t>
            </w:r>
          </w:p>
          <w:p w:rsidR="00EF2FA7" w:rsidRDefault="00EF2FA7" w:rsidP="00B10BB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EF2FA7" w:rsidRPr="00B10BB1" w:rsidRDefault="00EF2FA7" w:rsidP="00B10BB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B10BB1">
              <w:rPr>
                <w:rFonts w:cs="Arial"/>
                <w:color w:val="000000"/>
              </w:rPr>
              <w:t>Developing influencing relationships with staff, external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organisations and partners to ensure that Public Health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objectives are met.</w:t>
            </w:r>
          </w:p>
          <w:p w:rsidR="00EF2FA7" w:rsidRDefault="00EF2FA7" w:rsidP="00B10BB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EF2FA7" w:rsidRPr="00B10BB1" w:rsidRDefault="00EF2FA7" w:rsidP="00B10BB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B10BB1">
              <w:rPr>
                <w:rFonts w:cs="Arial"/>
                <w:color w:val="000000"/>
              </w:rPr>
              <w:t>The accuracy, timeliness and quality of reports,</w:t>
            </w:r>
            <w:r w:rsidR="00B10BB1" w:rsidRP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analysis and assessments produced.</w:t>
            </w:r>
          </w:p>
          <w:p w:rsidR="00EF2FA7" w:rsidRDefault="00EF2FA7" w:rsidP="00B10BB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EF2FA7" w:rsidRPr="00B10BB1" w:rsidRDefault="00EF2FA7" w:rsidP="00B10BB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B10BB1">
              <w:rPr>
                <w:rFonts w:cs="Arial"/>
                <w:color w:val="000000"/>
              </w:rPr>
              <w:t>The accuracy and quality of contributions to Public</w:t>
            </w:r>
            <w:r w:rsid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Health advice given.</w:t>
            </w:r>
          </w:p>
          <w:p w:rsidR="00EF2FA7" w:rsidRDefault="00EF2FA7" w:rsidP="00B10BB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C46382" w:rsidRPr="00B10BB1" w:rsidRDefault="00EF2FA7" w:rsidP="00B10BB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B10BB1">
              <w:rPr>
                <w:rFonts w:cs="Arial"/>
                <w:color w:val="000000"/>
              </w:rPr>
              <w:t>Working within identified resource restraints and</w:t>
            </w:r>
            <w:r w:rsidR="00B10BB1">
              <w:rPr>
                <w:rFonts w:cs="Arial"/>
                <w:color w:val="000000"/>
              </w:rPr>
              <w:t xml:space="preserve"> </w:t>
            </w:r>
            <w:r w:rsidRPr="00B10BB1">
              <w:rPr>
                <w:rFonts w:cs="Arial"/>
                <w:color w:val="000000"/>
              </w:rPr>
              <w:t>defined initiatives</w:t>
            </w:r>
          </w:p>
          <w:p w:rsidR="00C46382" w:rsidRDefault="00C46382" w:rsidP="00B10BB1"/>
          <w:p w:rsidR="00B10BB1" w:rsidRPr="00B10BB1" w:rsidRDefault="00EF2FA7" w:rsidP="00B10BB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  <w:r w:rsidRPr="00B10BB1">
              <w:rPr>
                <w:rFonts w:cs="Arial"/>
              </w:rPr>
              <w:t>Reporting issues where unforeseen events impact on</w:t>
            </w:r>
            <w:r w:rsid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objectives, targets or budgets</w:t>
            </w:r>
          </w:p>
          <w:p w:rsidR="00EF2FA7" w:rsidRPr="00B10BB1" w:rsidRDefault="00EF2FA7" w:rsidP="00B10BB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  <w:r w:rsidRPr="00B10BB1">
              <w:rPr>
                <w:rFonts w:cs="Arial"/>
              </w:rPr>
              <w:lastRenderedPageBreak/>
              <w:t>For ensuring that local policies, national requirements,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professional standards, regulatory standards and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codes of practice for delivery of public health services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are met. Examples include NICE guidelines, National</w:t>
            </w:r>
            <w:r w:rsid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Service Frameworks and equivalents.</w:t>
            </w:r>
          </w:p>
          <w:p w:rsidR="00EF2FA7" w:rsidRDefault="00EF2FA7" w:rsidP="00B10BB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F2FA7" w:rsidRPr="00B10BB1" w:rsidRDefault="00EF2FA7" w:rsidP="00B10BB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  <w:r w:rsidRPr="00B10BB1">
              <w:rPr>
                <w:rFonts w:cs="Arial"/>
              </w:rPr>
              <w:t>For ensuring that health and safety legislation, policy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and best practice is fully complied with.</w:t>
            </w:r>
          </w:p>
          <w:p w:rsidR="00EF2FA7" w:rsidRDefault="00EF2FA7" w:rsidP="00B10BB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46382" w:rsidRDefault="00EF2FA7" w:rsidP="00B10BB1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B10BB1">
              <w:rPr>
                <w:rFonts w:cs="Arial"/>
              </w:rPr>
              <w:t>For keeping up to date by participating in CPD,</w:t>
            </w:r>
            <w:r w:rsidR="00EE65FC" w:rsidRPr="00B10BB1">
              <w:rPr>
                <w:rFonts w:cs="Arial"/>
              </w:rPr>
              <w:t xml:space="preserve"> research and audit</w:t>
            </w:r>
          </w:p>
        </w:tc>
      </w:tr>
      <w:tr w:rsidR="00C46382" w:rsidTr="00F45F8A">
        <w:tc>
          <w:tcPr>
            <w:tcW w:w="14940" w:type="dxa"/>
            <w:gridSpan w:val="4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tbl>
      <w:tblPr>
        <w:tblW w:w="149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560"/>
      </w:tblGrid>
      <w:tr w:rsidR="00C46382" w:rsidTr="00B10BB1">
        <w:tc>
          <w:tcPr>
            <w:tcW w:w="14977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Person Specification</w:t>
            </w:r>
          </w:p>
          <w:p w:rsidR="00C46382" w:rsidRPr="00F45F8A" w:rsidRDefault="00C46382" w:rsidP="00C46382">
            <w:pPr>
              <w:rPr>
                <w:b/>
              </w:rPr>
            </w:pPr>
          </w:p>
        </w:tc>
      </w:tr>
      <w:tr w:rsidR="00C46382" w:rsidTr="00B10BB1">
        <w:tc>
          <w:tcPr>
            <w:tcW w:w="7417" w:type="dxa"/>
            <w:shd w:val="clear" w:color="auto" w:fill="auto"/>
          </w:tcPr>
          <w:p w:rsidR="00C46382" w:rsidRDefault="00C46382" w:rsidP="00F45F8A">
            <w:pPr>
              <w:ind w:firstLine="360"/>
              <w:rPr>
                <w:b/>
                <w:i/>
              </w:rPr>
            </w:pPr>
            <w:r w:rsidRPr="00F45F8A">
              <w:rPr>
                <w:b/>
                <w:i/>
              </w:rPr>
              <w:t>Education and Knowledge</w:t>
            </w:r>
          </w:p>
          <w:p w:rsidR="00EE65FC" w:rsidRPr="00F45F8A" w:rsidRDefault="00EE65FC" w:rsidP="00F45F8A">
            <w:pPr>
              <w:ind w:firstLine="360"/>
              <w:rPr>
                <w:b/>
                <w:i/>
              </w:rPr>
            </w:pPr>
          </w:p>
          <w:p w:rsidR="00EE65FC" w:rsidRPr="00B10BB1" w:rsidRDefault="00EE65FC" w:rsidP="00B10B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Educated to Degree level or equivalent experience</w:t>
            </w:r>
          </w:p>
          <w:p w:rsidR="00B10BB1" w:rsidRPr="00B10BB1" w:rsidRDefault="00EE65FC" w:rsidP="00B10B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Knowledge of Public Health work to include the following:</w:t>
            </w:r>
            <w:r w:rsidR="00B10BB1" w:rsidRPr="00B10BB1">
              <w:rPr>
                <w:rFonts w:cs="Arial"/>
              </w:rPr>
              <w:t xml:space="preserve"> </w:t>
            </w:r>
          </w:p>
          <w:p w:rsidR="00EE65FC" w:rsidRPr="00B10BB1" w:rsidRDefault="00EE65FC" w:rsidP="00B10B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Ability to analyse health need working from a range of</w:t>
            </w:r>
            <w:r w:rsid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information sources</w:t>
            </w:r>
          </w:p>
          <w:p w:rsidR="00EE65FC" w:rsidRPr="00B10BB1" w:rsidRDefault="00EE65FC" w:rsidP="00B10B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Ability to interpret and evaluate research and locally derived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evidence.</w:t>
            </w:r>
          </w:p>
          <w:p w:rsidR="00EE65FC" w:rsidRPr="00B10BB1" w:rsidRDefault="00EE65FC" w:rsidP="00B10B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Understanding of government policy and legislative agenda</w:t>
            </w:r>
            <w:r w:rsidR="00B10BB1" w:rsidRP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for local government and health</w:t>
            </w:r>
          </w:p>
          <w:p w:rsidR="00EE65FC" w:rsidRPr="00B10BB1" w:rsidRDefault="00EE65FC" w:rsidP="00B10B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Understanding of social determinants of health</w:t>
            </w:r>
          </w:p>
          <w:p w:rsidR="00B10BB1" w:rsidRDefault="00EE65FC" w:rsidP="00B10B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Health promotion theory and practice.</w:t>
            </w:r>
          </w:p>
          <w:p w:rsidR="00EE65FC" w:rsidRPr="00B10BB1" w:rsidRDefault="00EE65FC" w:rsidP="00B10B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lastRenderedPageBreak/>
              <w:t>Epidemiological approaches to assessing disease in the</w:t>
            </w:r>
          </w:p>
          <w:p w:rsidR="00EE65FC" w:rsidRDefault="00EE65FC" w:rsidP="00EE65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population</w:t>
            </w:r>
          </w:p>
          <w:p w:rsidR="00EE65FC" w:rsidRDefault="00EE65FC" w:rsidP="00B10B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Understanding of evidence-based strategies to reduce health</w:t>
            </w:r>
            <w:r w:rsidR="00B10BB1">
              <w:rPr>
                <w:rFonts w:cs="Arial"/>
              </w:rPr>
              <w:t xml:space="preserve"> </w:t>
            </w:r>
            <w:r w:rsidRPr="00B10BB1">
              <w:rPr>
                <w:rFonts w:cs="Arial"/>
              </w:rPr>
              <w:t>inequalities</w:t>
            </w:r>
          </w:p>
          <w:p w:rsidR="00B10BB1" w:rsidRPr="00B10BB1" w:rsidRDefault="00B10BB1" w:rsidP="00B10BB1">
            <w:p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  <w:p w:rsidR="00EE65FC" w:rsidRPr="00B10BB1" w:rsidRDefault="00EE65FC" w:rsidP="00B10B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10BB1">
              <w:rPr>
                <w:rFonts w:cs="Arial"/>
              </w:rPr>
              <w:t>Knowledge of the principles and practice of:</w:t>
            </w:r>
          </w:p>
          <w:p w:rsidR="00EE65FC" w:rsidRDefault="00EE65FC" w:rsidP="00EE65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a. project management;</w:t>
            </w:r>
          </w:p>
          <w:p w:rsidR="00EE65FC" w:rsidRDefault="00EE65FC" w:rsidP="00EE65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b. excellent customer service;</w:t>
            </w:r>
          </w:p>
          <w:p w:rsidR="00EE65FC" w:rsidRDefault="00EE65FC" w:rsidP="00EE65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c. continual improvement</w:t>
            </w:r>
          </w:p>
          <w:p w:rsidR="00EE65FC" w:rsidRDefault="00EE65FC" w:rsidP="00EE65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d. performance management</w:t>
            </w:r>
          </w:p>
          <w:p w:rsidR="00EE65FC" w:rsidRPr="00A174FE" w:rsidRDefault="00EE65FC" w:rsidP="00A174FE">
            <w:r>
              <w:rPr>
                <w:rFonts w:cs="Arial"/>
              </w:rPr>
              <w:t>e. community development theory (desirable)</w:t>
            </w:r>
          </w:p>
          <w:p w:rsidR="00C46382" w:rsidRDefault="00EE65FC" w:rsidP="00EE65FC">
            <w:r>
              <w:rPr>
                <w:rFonts w:cs="Arial"/>
              </w:rPr>
              <w:t>f. appropriate risk management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lastRenderedPageBreak/>
              <w:t>Personal skills and general competencies</w:t>
            </w:r>
          </w:p>
          <w:p w:rsidR="00C46382" w:rsidRPr="00F45F8A" w:rsidRDefault="00C46382" w:rsidP="00C46382">
            <w:pPr>
              <w:rPr>
                <w:b/>
              </w:rPr>
            </w:pPr>
          </w:p>
          <w:p w:rsidR="00EE65FC" w:rsidRPr="00A174FE" w:rsidRDefault="00EE65FC" w:rsidP="00EE65F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>Personal drive and commitment to excellent customer</w:t>
            </w:r>
            <w:r w:rsidR="00A174FE">
              <w:rPr>
                <w:rFonts w:cs="Arial"/>
                <w:color w:val="000000"/>
              </w:rPr>
              <w:t xml:space="preserve"> </w:t>
            </w:r>
            <w:r w:rsidRPr="00A174FE">
              <w:rPr>
                <w:rFonts w:cs="Arial"/>
                <w:color w:val="000000"/>
              </w:rPr>
              <w:t>care.</w:t>
            </w:r>
          </w:p>
          <w:p w:rsidR="00EE65FC" w:rsidRPr="00A174FE" w:rsidRDefault="00EE65FC" w:rsidP="00EE65F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>Good interpersonal skills enabling the post holder to</w:t>
            </w:r>
            <w:r w:rsidR="00A174FE">
              <w:rPr>
                <w:rFonts w:cs="Arial"/>
                <w:color w:val="000000"/>
              </w:rPr>
              <w:t xml:space="preserve"> </w:t>
            </w:r>
            <w:r w:rsidRPr="00A174FE">
              <w:rPr>
                <w:rFonts w:cs="Arial"/>
                <w:color w:val="000000"/>
              </w:rPr>
              <w:t>build strong relationships.</w:t>
            </w:r>
          </w:p>
          <w:p w:rsidR="00EE65FC" w:rsidRPr="00BF4A61" w:rsidRDefault="00EE65FC" w:rsidP="00BF4A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>Effective partnership working in a complex environment.</w:t>
            </w:r>
          </w:p>
          <w:p w:rsidR="00EE65FC" w:rsidRPr="00A174FE" w:rsidRDefault="00EE65FC" w:rsidP="00A174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>Ability to analyse issues and problems, and work with</w:t>
            </w:r>
            <w:r w:rsidR="00A174FE">
              <w:rPr>
                <w:rFonts w:cs="Arial"/>
                <w:color w:val="000000"/>
              </w:rPr>
              <w:t xml:space="preserve"> </w:t>
            </w:r>
            <w:r w:rsidRPr="00A174FE">
              <w:rPr>
                <w:rFonts w:cs="Arial"/>
                <w:color w:val="000000"/>
              </w:rPr>
              <w:t>others to propose and implement effective, creative and</w:t>
            </w:r>
            <w:r w:rsidR="00A174FE">
              <w:rPr>
                <w:rFonts w:cs="Arial"/>
                <w:color w:val="000000"/>
              </w:rPr>
              <w:t xml:space="preserve"> </w:t>
            </w:r>
            <w:r w:rsidRPr="00A174FE">
              <w:rPr>
                <w:rFonts w:cs="Arial"/>
                <w:color w:val="000000"/>
              </w:rPr>
              <w:t>innovative solutions within required timescales.</w:t>
            </w:r>
          </w:p>
          <w:p w:rsidR="00EE65FC" w:rsidRPr="00A174FE" w:rsidRDefault="00EE65FC" w:rsidP="00A174F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>Ability to work to specified timescales, using own</w:t>
            </w:r>
            <w:r w:rsidR="00A174FE">
              <w:rPr>
                <w:rFonts w:cs="Arial"/>
                <w:color w:val="000000"/>
              </w:rPr>
              <w:t xml:space="preserve"> </w:t>
            </w:r>
            <w:r w:rsidRPr="00A174FE">
              <w:rPr>
                <w:rFonts w:cs="Arial"/>
                <w:color w:val="000000"/>
              </w:rPr>
              <w:t>initiative to plan and</w:t>
            </w:r>
            <w:r w:rsidR="00A174FE">
              <w:rPr>
                <w:rFonts w:cs="Arial"/>
                <w:color w:val="000000"/>
              </w:rPr>
              <w:t xml:space="preserve"> prioritise, and manage own work </w:t>
            </w:r>
            <w:r w:rsidRPr="00A174FE">
              <w:rPr>
                <w:rFonts w:cs="Arial"/>
                <w:color w:val="000000"/>
              </w:rPr>
              <w:t>programme.</w:t>
            </w:r>
          </w:p>
          <w:p w:rsidR="00EE65FC" w:rsidRPr="00A174FE" w:rsidRDefault="00EE65FC" w:rsidP="00A174F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lastRenderedPageBreak/>
              <w:t>Ability to work effectively in a professional political</w:t>
            </w:r>
            <w:r w:rsidR="00A174FE">
              <w:rPr>
                <w:rFonts w:cs="Arial"/>
                <w:color w:val="000000"/>
              </w:rPr>
              <w:t xml:space="preserve"> </w:t>
            </w:r>
            <w:r w:rsidRPr="00A174FE">
              <w:rPr>
                <w:rFonts w:cs="Arial"/>
                <w:color w:val="000000"/>
              </w:rPr>
              <w:t>environment with sensitivity and integrity.</w:t>
            </w:r>
          </w:p>
          <w:p w:rsidR="00EE65FC" w:rsidRPr="00A174FE" w:rsidRDefault="00EE65FC" w:rsidP="00A174F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>Good communication skills to be able to present</w:t>
            </w:r>
            <w:r w:rsidR="00A174FE">
              <w:rPr>
                <w:rFonts w:cs="Arial"/>
                <w:color w:val="000000"/>
              </w:rPr>
              <w:t xml:space="preserve"> </w:t>
            </w:r>
            <w:r w:rsidRPr="00A174FE">
              <w:rPr>
                <w:rFonts w:cs="Arial"/>
                <w:color w:val="000000"/>
              </w:rPr>
              <w:t>complex information clearly and concisely, both verbally</w:t>
            </w:r>
            <w:r w:rsidR="00A174FE">
              <w:rPr>
                <w:rFonts w:cs="Arial"/>
                <w:color w:val="000000"/>
              </w:rPr>
              <w:t xml:space="preserve"> </w:t>
            </w:r>
            <w:r w:rsidRPr="00A174FE">
              <w:rPr>
                <w:rFonts w:cs="Arial"/>
                <w:color w:val="000000"/>
              </w:rPr>
              <w:t xml:space="preserve">and in writing, </w:t>
            </w:r>
            <w:proofErr w:type="gramStart"/>
            <w:r w:rsidRPr="00A174FE">
              <w:rPr>
                <w:rFonts w:cs="Arial"/>
                <w:color w:val="000000"/>
              </w:rPr>
              <w:t>in order to</w:t>
            </w:r>
            <w:proofErr w:type="gramEnd"/>
            <w:r w:rsidRPr="00A174FE">
              <w:rPr>
                <w:rFonts w:cs="Arial"/>
                <w:color w:val="000000"/>
              </w:rPr>
              <w:t xml:space="preserve"> influence decision-makers and</w:t>
            </w:r>
            <w:r w:rsidR="00A174FE">
              <w:rPr>
                <w:rFonts w:cs="Arial"/>
                <w:color w:val="000000"/>
              </w:rPr>
              <w:t xml:space="preserve"> </w:t>
            </w:r>
            <w:r w:rsidRPr="00A174FE">
              <w:rPr>
                <w:rFonts w:cs="Arial"/>
                <w:color w:val="000000"/>
              </w:rPr>
              <w:t>command the confidence of others.</w:t>
            </w:r>
          </w:p>
          <w:p w:rsidR="00EE65FC" w:rsidRPr="00BF4A61" w:rsidRDefault="00EE65FC" w:rsidP="00BF4A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 xml:space="preserve">Ability to locate and evaluate information and </w:t>
            </w:r>
            <w:proofErr w:type="gramStart"/>
            <w:r w:rsidRPr="00BF4A61">
              <w:rPr>
                <w:rFonts w:cs="Arial"/>
                <w:color w:val="000000"/>
              </w:rPr>
              <w:t>evidence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based</w:t>
            </w:r>
            <w:proofErr w:type="gramEnd"/>
            <w:r w:rsidRPr="00BF4A61">
              <w:rPr>
                <w:rFonts w:cs="Arial"/>
                <w:color w:val="000000"/>
              </w:rPr>
              <w:t xml:space="preserve"> practice, presenting it in a manner that enables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decision making, and taking account of confidentiality as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appropriate.</w:t>
            </w:r>
          </w:p>
          <w:p w:rsidR="00C46382" w:rsidRPr="00BF4A61" w:rsidRDefault="00EE65FC" w:rsidP="00BF4A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>Ability to identify, assess and address risk, working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safely and reporting any risks outside of their control</w:t>
            </w:r>
          </w:p>
          <w:p w:rsidR="00EE65FC" w:rsidRPr="00BF4A61" w:rsidRDefault="00EE65FC" w:rsidP="00BF4A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>Demonstrate awareness, understanding and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commitment to the Council’s Equality and Diversity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Policy, showing sensitivity to the needs of a diverse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range of customers and colleagues.</w:t>
            </w:r>
          </w:p>
          <w:p w:rsidR="00EE65FC" w:rsidRPr="00BF4A61" w:rsidRDefault="00EE65FC" w:rsidP="00BF4A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>Ability and willingness to travel both inside and outside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the council area as required, and to work outside normal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office hours (some evening and weekend work may be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required).</w:t>
            </w:r>
          </w:p>
          <w:p w:rsidR="00EE65FC" w:rsidRPr="00BF4A61" w:rsidRDefault="00EE65FC" w:rsidP="00BF4A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>Use of IT systems including Excel, Word, PowerPoint,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databases and project management software to a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business standard.</w:t>
            </w:r>
          </w:p>
          <w:p w:rsidR="00EE65FC" w:rsidRPr="00BF4A61" w:rsidRDefault="00EE65FC" w:rsidP="00BF4A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4A61">
              <w:rPr>
                <w:rFonts w:cs="Arial"/>
                <w:color w:val="000000"/>
              </w:rPr>
              <w:t>Evidence of recent participation in continuous</w:t>
            </w:r>
            <w:r w:rsidR="00BF4A61">
              <w:rPr>
                <w:rFonts w:cs="Arial"/>
                <w:color w:val="000000"/>
              </w:rPr>
              <w:t xml:space="preserve"> </w:t>
            </w:r>
            <w:r w:rsidRPr="00BF4A61">
              <w:rPr>
                <w:rFonts w:cs="Arial"/>
                <w:color w:val="000000"/>
              </w:rPr>
              <w:t>professional development</w:t>
            </w:r>
          </w:p>
        </w:tc>
      </w:tr>
      <w:tr w:rsidR="00C46382" w:rsidTr="00B10BB1">
        <w:tc>
          <w:tcPr>
            <w:tcW w:w="7417" w:type="dxa"/>
            <w:shd w:val="clear" w:color="auto" w:fill="auto"/>
          </w:tcPr>
          <w:p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lastRenderedPageBreak/>
              <w:t>Experience</w:t>
            </w:r>
          </w:p>
          <w:p w:rsidR="00C46382" w:rsidRDefault="00C46382" w:rsidP="00C46382"/>
          <w:p w:rsidR="00BF4A61" w:rsidRDefault="00EE65FC" w:rsidP="00BF4A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F4A61">
              <w:rPr>
                <w:rFonts w:cs="Arial"/>
              </w:rPr>
              <w:t>Experience of working in partnership with external bodies,</w:t>
            </w:r>
            <w:r w:rsidR="00BF4A61">
              <w:rPr>
                <w:rFonts w:cs="Arial"/>
              </w:rPr>
              <w:t xml:space="preserve"> </w:t>
            </w:r>
            <w:r w:rsidRPr="00BF4A61">
              <w:rPr>
                <w:rFonts w:cs="Arial"/>
              </w:rPr>
              <w:t>particularly in delivery of joint action plans to achieve shared objectives.</w:t>
            </w:r>
          </w:p>
          <w:p w:rsidR="00BF4A61" w:rsidRDefault="00EE65FC" w:rsidP="00BF4A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F4A61">
              <w:rPr>
                <w:rFonts w:cs="Arial"/>
              </w:rPr>
              <w:t>Experience of project management.</w:t>
            </w:r>
          </w:p>
          <w:p w:rsidR="00EE65FC" w:rsidRPr="00BF4A61" w:rsidRDefault="00EE65FC" w:rsidP="00BF4A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F4A61">
              <w:rPr>
                <w:rFonts w:cs="Arial"/>
              </w:rPr>
              <w:t>Experience of designing systems for consultation and making</w:t>
            </w:r>
            <w:r w:rsidR="00BF4A61">
              <w:rPr>
                <w:rFonts w:cs="Arial"/>
              </w:rPr>
              <w:t xml:space="preserve"> </w:t>
            </w:r>
            <w:r w:rsidRPr="00BF4A61">
              <w:rPr>
                <w:rFonts w:cs="Arial"/>
              </w:rPr>
              <w:t>changes based on feedback.</w:t>
            </w:r>
          </w:p>
          <w:p w:rsidR="00EE65FC" w:rsidRDefault="00EE65FC" w:rsidP="00BF4A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BF4A61">
              <w:rPr>
                <w:rFonts w:cs="Arial"/>
              </w:rPr>
              <w:t>Experience of managing a diverse workload in a high pressurised</w:t>
            </w:r>
            <w:r w:rsidR="00BF4A61">
              <w:rPr>
                <w:rFonts w:cs="Arial"/>
              </w:rPr>
              <w:t xml:space="preserve"> </w:t>
            </w:r>
            <w:r w:rsidRPr="00BF4A61">
              <w:rPr>
                <w:rFonts w:cs="Arial"/>
              </w:rPr>
              <w:t>environment and ensuring that deadlines are met.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B10BB1">
        <w:tc>
          <w:tcPr>
            <w:tcW w:w="14977" w:type="dxa"/>
            <w:gridSpan w:val="2"/>
            <w:shd w:val="clear" w:color="auto" w:fill="auto"/>
          </w:tcPr>
          <w:p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t>Role Dimensions</w:t>
            </w:r>
          </w:p>
          <w:p w:rsidR="00C46382" w:rsidRPr="00F45F8A" w:rsidRDefault="00C46382" w:rsidP="00F45F8A">
            <w:pPr>
              <w:ind w:left="360"/>
              <w:rPr>
                <w:b/>
              </w:rPr>
            </w:pPr>
          </w:p>
          <w:p w:rsidR="00EE65FC" w:rsidRDefault="00EE65FC" w:rsidP="00EE65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1. Takes responsibility for identified projects or tasks, ensuring high quality delivery that meets agreed specifications.</w:t>
            </w:r>
          </w:p>
          <w:p w:rsidR="00EE65FC" w:rsidRDefault="00EE65FC" w:rsidP="00EE65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2. Works in a team with others, with a willingness to share information and be flexible in response to changing demands.</w:t>
            </w:r>
          </w:p>
          <w:p w:rsidR="00EE65FC" w:rsidRDefault="00EE65FC" w:rsidP="00EE65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3. Works within identified resources.</w:t>
            </w:r>
          </w:p>
          <w:p w:rsidR="00EE65FC" w:rsidRDefault="00EE65FC" w:rsidP="00EE65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4. Works with external bodies.</w:t>
            </w:r>
          </w:p>
          <w:p w:rsidR="00EE65FC" w:rsidRDefault="00EE65FC" w:rsidP="00EE65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5. Accountable to a PH and Commissioning manager (and deputises on request)</w:t>
            </w:r>
          </w:p>
          <w:p w:rsidR="00C46382" w:rsidRPr="00834176" w:rsidRDefault="00EE65FC" w:rsidP="00EE65FC">
            <w:r>
              <w:rPr>
                <w:rFonts w:cs="Arial"/>
              </w:rPr>
              <w:t>6. No budgetary or staffing responsibilities</w:t>
            </w:r>
          </w:p>
          <w:p w:rsidR="00C46382" w:rsidRPr="00F45F8A" w:rsidRDefault="00C46382" w:rsidP="00F45F8A">
            <w:pPr>
              <w:jc w:val="right"/>
              <w:rPr>
                <w:i/>
              </w:rPr>
            </w:pPr>
            <w:r w:rsidRPr="00F45F8A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CC2" w:rsidRDefault="00F17CC2">
      <w:r>
        <w:separator/>
      </w:r>
    </w:p>
  </w:endnote>
  <w:endnote w:type="continuationSeparator" w:id="0">
    <w:p w:rsidR="00F17CC2" w:rsidRDefault="00F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3C9" w:rsidRDefault="00DD23C9">
    <w:pPr>
      <w:pStyle w:val="Footer"/>
    </w:pPr>
    <w:r>
      <w:t>Tier 6 – Senior Practitioners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CC2" w:rsidRDefault="00F17CC2">
      <w:r>
        <w:separator/>
      </w:r>
    </w:p>
  </w:footnote>
  <w:footnote w:type="continuationSeparator" w:id="0">
    <w:p w:rsidR="00F17CC2" w:rsidRDefault="00F1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02D"/>
    <w:multiLevelType w:val="hybridMultilevel"/>
    <w:tmpl w:val="95D45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B5545"/>
    <w:multiLevelType w:val="hybridMultilevel"/>
    <w:tmpl w:val="6AE097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F4CA8"/>
    <w:multiLevelType w:val="hybridMultilevel"/>
    <w:tmpl w:val="281C2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23182"/>
    <w:multiLevelType w:val="hybridMultilevel"/>
    <w:tmpl w:val="04604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20CA7"/>
    <w:multiLevelType w:val="hybridMultilevel"/>
    <w:tmpl w:val="F45C24CA"/>
    <w:lvl w:ilvl="0" w:tplc="57666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6F21C2"/>
    <w:multiLevelType w:val="hybridMultilevel"/>
    <w:tmpl w:val="D92C1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ABE"/>
    <w:multiLevelType w:val="hybridMultilevel"/>
    <w:tmpl w:val="237EF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92620"/>
    <w:multiLevelType w:val="hybridMultilevel"/>
    <w:tmpl w:val="A822A6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E1289A"/>
    <w:multiLevelType w:val="hybridMultilevel"/>
    <w:tmpl w:val="BFACA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601E8"/>
    <w:multiLevelType w:val="hybridMultilevel"/>
    <w:tmpl w:val="8AF4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51076"/>
    <w:multiLevelType w:val="hybridMultilevel"/>
    <w:tmpl w:val="5104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F111EB"/>
    <w:multiLevelType w:val="hybridMultilevel"/>
    <w:tmpl w:val="18225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E4A55"/>
    <w:multiLevelType w:val="hybridMultilevel"/>
    <w:tmpl w:val="AC1E7F0A"/>
    <w:lvl w:ilvl="0" w:tplc="57666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6"/>
  </w:num>
  <w:num w:numId="8">
    <w:abstractNumId w:val="4"/>
  </w:num>
  <w:num w:numId="9">
    <w:abstractNumId w:val="15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1701E1"/>
    <w:rsid w:val="001C205E"/>
    <w:rsid w:val="004B034A"/>
    <w:rsid w:val="004D186C"/>
    <w:rsid w:val="005C1BCF"/>
    <w:rsid w:val="0077208B"/>
    <w:rsid w:val="00A174FE"/>
    <w:rsid w:val="00A378D9"/>
    <w:rsid w:val="00AB789F"/>
    <w:rsid w:val="00B10BB1"/>
    <w:rsid w:val="00B726DA"/>
    <w:rsid w:val="00B933C9"/>
    <w:rsid w:val="00BF4A61"/>
    <w:rsid w:val="00C36D3B"/>
    <w:rsid w:val="00C46382"/>
    <w:rsid w:val="00DD23C9"/>
    <w:rsid w:val="00E94CDB"/>
    <w:rsid w:val="00EE65FC"/>
    <w:rsid w:val="00EF2FA7"/>
    <w:rsid w:val="00F17CC2"/>
    <w:rsid w:val="00F45F8A"/>
    <w:rsid w:val="00F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F533D48-DA09-4556-BEAB-A549C2B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1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6183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6 Senior Practitioners</vt:lpstr>
    </vt:vector>
  </TitlesOfParts>
  <Company>Nottinghamshire County Council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6 Senior Practitioners</dc:title>
  <dc:subject>Employment, jobs and careers</dc:subject>
  <dc:creator>Nottinghamshire County Council</dc:creator>
  <cp:keywords/>
  <cp:lastModifiedBy>Stephanie Morrissey</cp:lastModifiedBy>
  <cp:revision>2</cp:revision>
  <dcterms:created xsi:type="dcterms:W3CDTF">2019-08-01T15:58:00Z</dcterms:created>
  <dcterms:modified xsi:type="dcterms:W3CDTF">2019-08-01T15:58:00Z</dcterms:modified>
</cp:coreProperties>
</file>