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tab/>
        <w:tab/>
        <w:tab/>
      </w:r>
      <w:r w:rsidDel="00000000" w:rsidR="00000000" w:rsidRPr="00000000">
        <w:rPr>
          <w:rtl w:val="0"/>
        </w:rPr>
        <w:t xml:space="preserve">Curriculum Lead</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Independent School or Real Alternative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rtl w:val="0"/>
        </w:rPr>
        <w:t xml:space="preserve">Provision School</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tab/>
        <w:tab/>
      </w:r>
      <w:r w:rsidDel="00000000" w:rsidR="00000000" w:rsidRPr="00000000">
        <w:rPr>
          <w:rtl w:val="0"/>
        </w:rPr>
        <w:t xml:space="preserve">Various</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Accountable to</w:t>
        <w:tab/>
      </w:r>
      <w:r w:rsidDel="00000000" w:rsidR="00000000" w:rsidRPr="00000000">
        <w:rPr>
          <w:rtl w:val="0"/>
        </w:rPr>
        <w:t xml:space="preserve">Head Teacher of Real Independent School or Real Alternative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rtl w:val="0"/>
        </w:rPr>
        <w:t xml:space="preserve"> Provision School (dependent on which service the post belongs)</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Function of role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and maintain a high level of learner engagement through collaborative preparation and delivery of an innovative, creative and flexible curriculum. To use a collaborative and multi-agency holistic approach to delivering an education provision which includes attention to health and safety awareness, risk management and the safeguarding of young people.</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Accountabilities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the designated Head of Service and adhere to the organisation’s Equal Opportunities and Diversity policy.</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in your care. Encourage their involvement in the decision making and the management of their programmes. Be responsible for the assessment, preparation, delivery and review of a learner’s curriculum including contributions to lesson plans. Offer a variety of approaches and opportunities to focus on an engagement with learning.</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Provide the lead for your specific curriculum area including preparation of schemes of work, lesson plans and advice to teaching peers regarding learners individual programmes. Ensure your specific curriculum area adheres to the termly direction given by the designated Head Teacher.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aspects of learner health and safety, informing the designated Learning Manager of any accidents or identified risks, and using the significant incident reporting form appropriately. Support the Learning Manager to ensure venues used are appropriate and risk assessed, and that Health and Safety guidance supplied by the company is adhered to.</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the Learning Manager with the collection and collation of pupil information including learner profiles, pen pictures, risk management procedures and special educational needs and suitably differentiate your delivery to meet the identified needs.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all designated Learning Managers with the completion of all assessments, pupil tracking documents, progress reports and feedback reports to commissioning bodies e.g. Education, Health and Care plans, KS3 &amp; KS4 transition planning, and post 16 opportunities.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Carry out additional duties as reasonably requested by the Directors or designated Head of Service and be responsible for your own continuous professional development.</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Performance indicators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 to a good or outstanding standard.</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Adherence to the accountabilities and responsibilities in this job description, and adherence to organisational policies and procedures.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w:t>
      </w:r>
      <w:r w:rsidDel="00000000" w:rsidR="00000000" w:rsidRPr="00000000">
        <w:rPr>
          <w:rtl w:val="0"/>
        </w:rPr>
        <w:t xml:space="preserve">outcomes thinking through regular support and supervision.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 of positive outcomes for young people.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