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</w:t>
      </w:r>
      <w:r w:rsidDel="00000000" w:rsidR="00000000" w:rsidRPr="00000000">
        <w:rPr>
          <w:rtl w:val="0"/>
        </w:rPr>
        <w:t xml:space="preserve">        </w:t>
        <w:tab/>
        <w:tab/>
        <w:t xml:space="preserve">        </w:t>
        <w:tab/>
        <w:t xml:space="preserve">Learning Manager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Service</w:t>
      </w:r>
      <w:r w:rsidDel="00000000" w:rsidR="00000000" w:rsidRPr="00000000">
        <w:rPr>
          <w:rtl w:val="0"/>
        </w:rPr>
        <w:t xml:space="preserve">               </w:t>
        <w:tab/>
        <w:tab/>
        <w:t xml:space="preserve">R.E.A.L Education, R.E.A.L Independent School, or R.E.A.L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Alternative Provision School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 </w:t>
        <w:tab/>
        <w:tab/>
        <w:t xml:space="preserve">        </w:t>
        <w:tab/>
        <w:t xml:space="preserve">Various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Accountable to</w:t>
      </w:r>
      <w:r w:rsidDel="00000000" w:rsidR="00000000" w:rsidRPr="00000000">
        <w:rPr>
          <w:rtl w:val="0"/>
        </w:rPr>
        <w:t xml:space="preserve">  </w:t>
        <w:tab/>
        <w:tab/>
        <w:t xml:space="preserve">Head of Service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900.6491499227195"/>
        <w:gridCol w:w="1258.6089644513138"/>
        <w:gridCol w:w="1200.741885625966"/>
        <w:tblGridChange w:id="0">
          <w:tblGrid>
            <w:gridCol w:w="6900.6491499227195"/>
            <w:gridCol w:w="1258.6089644513138"/>
            <w:gridCol w:w="1200.74188562596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Desirable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of current inspection frameworks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relevant legislation and guidance and implications for local policy, procedure and practice (e.g. The Children’s Act 2004, Children and Families Act 2014</w:t>
            </w:r>
            <w:r w:rsidDel="00000000" w:rsidR="00000000" w:rsidRPr="00000000">
              <w:rPr>
                <w:rtl w:val="0"/>
              </w:rPr>
              <w:t xml:space="preserve">, SEND Code of Practice 2015, Keeping Children Safe in Education 2018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an understanding of statutory education and/or training pathways reflecting the current breadth of curriculum available to children and young people from KS2 through to KS5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different awarding and examination bodies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Six years experience of working with children and young people or vulnerable adults within an education setting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Extensive experience of working within a multi-agency environment using holistic approaches with young people and their families or carers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Experience of leading and chairing integrated professional meetings and processes (e.g. CAF Lead Professional)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experience of caseload management and the coordination of education provision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experience of supervising staff, monitoring performance and/or quality assurance processes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Experience of delivering relevant professional training to peers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Able to demonstrate effective communication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a wide variety of ICT skills (e.g. an understanding of </w:t>
            </w:r>
            <w:r w:rsidDel="00000000" w:rsidR="00000000" w:rsidRPr="00000000">
              <w:rPr>
                <w:rtl w:val="0"/>
              </w:rPr>
              <w:t xml:space="preserve">cloud based ICT systems, word processing, use of spreadsheets,</w:t>
            </w:r>
            <w:r w:rsidDel="00000000" w:rsidR="00000000" w:rsidRPr="00000000">
              <w:rPr>
                <w:rtl w:val="0"/>
              </w:rPr>
              <w:t xml:space="preserve"> and 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safety)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effective record keeping with a clear understanding of the Data Protection Act and sharing information protocols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an ability to track, monitor and analyse data</w:t>
            </w:r>
            <w:r w:rsidDel="00000000" w:rsidR="00000000" w:rsidRPr="00000000">
              <w:rPr>
                <w:rtl w:val="0"/>
              </w:rPr>
              <w:t xml:space="preserve"> around educational attainment, progress and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and Training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hold a minimum Level 4 or 5 professional qualification in education (e.g. </w:t>
            </w:r>
            <w:r w:rsidDel="00000000" w:rsidR="00000000" w:rsidRPr="00000000">
              <w:rPr>
                <w:rtl w:val="0"/>
              </w:rPr>
              <w:t xml:space="preserve">QTS, QTLS, Level 4 Certificate in Education, Level 5 Diploma in Education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be able to produce evidence of previous CPD (e.g. first aid, safeguarding training, diversity training, CAF/EHC training, IOSHH)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hold a Level 6+ post graduate qualification and/or evidence of membership of professional bodies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hold an A1 Assessors award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Must hold a UK Driving Licence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Understand the importance of adhering to the organisation’s policies, procedures and practices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committed to delivering holistic family interventions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driven to provide positive outcomes to children, young people and vulnerable adults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Where internal employees do not meet particular essential criteria but have proven outstanding performance the organisation reserves the right to further progress their application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57150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