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 Specification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Role: </w:t>
      </w:r>
      <w:r w:rsidDel="00000000" w:rsidR="00000000" w:rsidRPr="00000000">
        <w:rPr>
          <w:rtl w:val="0"/>
        </w:rPr>
        <w:t xml:space="preserve">KS4 Maths Lead</w:t>
        <w:tab/>
        <w:tab/>
        <w:tab/>
        <w:tab/>
        <w:t xml:space="preserve">        </w:t>
        <w:tab/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rtl w:val="0"/>
        </w:rPr>
        <w:t xml:space="preserve">Service: </w:t>
      </w:r>
      <w:r w:rsidDel="00000000" w:rsidR="00000000" w:rsidRPr="00000000">
        <w:rPr>
          <w:rtl w:val="0"/>
        </w:rPr>
        <w:t xml:space="preserve">R.E.A.L Independent School</w:t>
        <w:tab/>
        <w:tab/>
        <w:t xml:space="preserve">       </w:t>
        <w:tab/>
        <w:tab/>
        <w:t xml:space="preserve">     </w:t>
        <w:tab/>
        <w:tab/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Location: </w:t>
      </w:r>
      <w:r w:rsidDel="00000000" w:rsidR="00000000" w:rsidRPr="00000000">
        <w:rPr>
          <w:rtl w:val="0"/>
        </w:rPr>
        <w:t xml:space="preserve">Various</w:t>
        <w:tab/>
        <w:tab/>
        <w:tab/>
        <w:t xml:space="preserve">        </w:t>
        <w:tab/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51.062992125984"/>
        <w:rPr/>
      </w:pPr>
      <w:r w:rsidDel="00000000" w:rsidR="00000000" w:rsidRPr="00000000">
        <w:rPr>
          <w:b w:val="1"/>
          <w:rtl w:val="0"/>
        </w:rPr>
        <w:t xml:space="preserve">Accountable to: </w:t>
      </w:r>
      <w:r w:rsidDel="00000000" w:rsidR="00000000" w:rsidRPr="00000000">
        <w:rPr>
          <w:rtl w:val="0"/>
        </w:rPr>
        <w:t xml:space="preserve">KS4 Learning and achievement Lead/Head Teacher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51.062992125984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245"/>
        <w:gridCol w:w="1050"/>
        <w:gridCol w:w="1080"/>
        <w:tblGridChange w:id="0">
          <w:tblGrid>
            <w:gridCol w:w="7245"/>
            <w:gridCol w:w="1050"/>
            <w:gridCol w:w="10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Desirable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Knowledge of the new Maths GCSE curriculum and exam arrangements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Knowledge of other maths based qualifications that could be offered for those learners not ready for GCSE.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Knowledge of STEM, qualifications offered  and local projects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Knowledge of processes for tracking and reporting on learner progress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Knowledge of effective quality assurance practices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Knowledge of Health and Safety requirements for science, including storage of chemicals, or willingness to complete course.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Previous experience of working within a leadership team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Experience of managing, developing, inspiring and motivating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Experience of implementing assessment strategies and the effective tracking of pupil progress to ensure that all pupils, including those from low starting points, are able to make outstanding progress.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Experience of working in partnership with a wide range of stakeholders and an understanding of extended schools agenda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Experience of school self-evaluation (SEF)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Experience of performance management, including new regulations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Experience of KS4 examination monitoring and delivery.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Experience of working with learners who have an EHCP or statement of special educational needs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Ability to prepare and use practical equipment to enhance the delivery of maths across KS4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Ability and willingness to support other staff to deliver the practical aspects of the science curriculum in a creative manner.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Excellent oral and written communication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Be e-confident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Ability to interpret and implement new legislation, policies and initiatives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Ability to analyse information from a wide variety of sources and solve complex problems.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Ability to set appropriate targets for the improvement of school performance and how to establish, monitor and evaluate an action plan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Ability to demonstrate sound organisational skills, work under pressure and determine priorities to meet deadlines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 and Training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Qualified Teacher Status. SEN experience/qualifications or willingness to complete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  <w:t xml:space="preserve"> subject qualifications at level 4 or above.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Evidence of further up-to-date relevant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Must hold a UK Driving Licence and have access to a road-worthy vehicle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Understand the importance of adhering to the organisation’s policies, procedures and practices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Be committed to delivering holistic family interventions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Be driven to provide positive outcomes to children, young people and vulnerable adults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Enthusiasm, vision, drive, adaptability and resilience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i w:val="1"/>
          <w:rtl w:val="0"/>
        </w:rPr>
        <w:t xml:space="preserve">Where internal employees do not meet particular essential criteria but have proven outstanding performance the organisation reserves the right to further progress their application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4076700</wp:posOffset>
          </wp:positionH>
          <wp:positionV relativeFrom="paragraph">
            <wp:posOffset>57150</wp:posOffset>
          </wp:positionV>
          <wp:extent cx="1973551" cy="819150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3551" cy="819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